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bidi w:val="0"/>
        <w:adjustRightInd/>
        <w:snapToGrid/>
        <w:spacing w:line="600" w:lineRule="exact"/>
        <w:jc w:val="center"/>
        <w:textAlignment w:val="auto"/>
        <w:rPr>
          <w:rFonts w:hint="eastAsia" w:ascii="Arial" w:hAnsi="Arial" w:eastAsia="黑体" w:cs="Times New Roman"/>
          <w:b/>
          <w:bCs/>
          <w:kern w:val="2"/>
          <w:sz w:val="32"/>
          <w:szCs w:val="32"/>
          <w:lang w:val="en-US" w:eastAsia="zh-CN" w:bidi="ar-SA"/>
        </w:rPr>
      </w:pPr>
      <w:r>
        <w:rPr>
          <w:rStyle w:val="7"/>
          <w:rFonts w:hint="eastAsia"/>
          <w:lang w:val="en-US" w:eastAsia="zh-CN"/>
        </w:rPr>
        <w:t>艺术学院硕士学位论文事前抽查评审实施细则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为进一步加强艺术学院硕士学位论文质量监控，切实提高学位论文质量，根据《华南理工大学硕士学位论文抽查评审办法（试行）》（华南工研〔2012〕77号）要求，学校和</w:t>
      </w:r>
      <w:bookmarkStart w:id="0" w:name="_GoBack"/>
      <w:bookmarkEnd w:id="0"/>
      <w:r>
        <w:rPr>
          <w:rFonts w:hint="eastAsia" w:ascii="仿宋_GB2312" w:hAnsi="仿宋" w:eastAsia="仿宋_GB2312" w:cs="Times New Roman"/>
          <w:color w:val="000000"/>
          <w:kern w:val="2"/>
          <w:sz w:val="28"/>
          <w:szCs w:val="28"/>
          <w:lang w:val="en-US" w:eastAsia="zh-CN" w:bidi="ar-SA"/>
        </w:rPr>
        <w:t>学院对申请学位的硕士学位论文实行事前抽查与事后抽查相结合的评审方式。结合本学院学科情况，特制定本细则。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事前抽查是指在硕士学位申请人进行学位论文答辩前，学院对其学位论文实行抽查评审。事后抽查是指学位申请人被授予硕士学位后，学校为了检验、评估其学位论文质量而采取的抽查评审，事后抽查由学校组织进行。本细则主要适用于事前抽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所有拟申请学位论文答辩的硕士学位申请人，按照学校规定的时间进行答辩预登记，学院根据答辩预登记的名单，按照学院硕士学位论文事前抽查评审实施细则进行事前抽查，并将被抽中送审的学位申请人名单报学校学位办。需要抽查的硕士论文需提交电子版至图书馆“学术不端行为检测系统”进行检测，通过后由学院交校外2位副高以上职称同行专家进行匿名评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论文送评、评阅及结果回收工作期至少1个月。如未能按时提交送审材料而致使不能按时答辩的由申请人本人负责其学位申请事宜顺延至下一次学位申请、审核期间进行。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抽查时间：每年4月15日至4月30日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提交论文时间：每年5月份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学位论文的抽查比例：10%</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抽查方式：随机抽查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评审方式：采取单盲方式（即学位申请人的学位论文不做匿名处理，但论文评阅人的信息对论文作者及其导师保密）。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其他事项严格按照《华南理工大学硕士学位论文抽查评审办法（试行）》（华南工研〔2012〕77号）执行。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color w:val="00000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 w:eastAsia="仿宋_GB2312" w:cs="Times New Roman"/>
          <w:color w:val="00000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5040" w:firstLineChars="18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华南理工大学艺术学院</w:t>
      </w:r>
    </w:p>
    <w:p>
      <w:pPr>
        <w:keepNext w:val="0"/>
        <w:keepLines w:val="0"/>
        <w:pageBreakBefore w:val="0"/>
        <w:widowControl w:val="0"/>
        <w:kinsoku/>
        <w:wordWrap/>
        <w:overflowPunct/>
        <w:topLinePunct w:val="0"/>
        <w:autoSpaceDE/>
        <w:autoSpaceDN/>
        <w:bidi w:val="0"/>
        <w:adjustRightInd/>
        <w:snapToGrid/>
        <w:spacing w:line="560" w:lineRule="exact"/>
        <w:ind w:firstLine="5600" w:firstLineChars="2000"/>
        <w:textAlignment w:val="auto"/>
        <w:rPr>
          <w:rFonts w:hint="eastAsia" w:ascii="仿宋_GB2312" w:hAnsi="仿宋" w:eastAsia="仿宋_GB2312" w:cs="Times New Roman"/>
          <w:color w:val="000000"/>
          <w:kern w:val="2"/>
          <w:sz w:val="28"/>
          <w:szCs w:val="28"/>
          <w:lang w:val="en-US" w:eastAsia="zh-CN" w:bidi="ar-SA"/>
        </w:rPr>
      </w:pPr>
      <w:r>
        <w:rPr>
          <w:rFonts w:hint="eastAsia" w:ascii="仿宋_GB2312" w:hAnsi="仿宋" w:eastAsia="仿宋_GB2312" w:cs="Times New Roman"/>
          <w:color w:val="000000"/>
          <w:kern w:val="2"/>
          <w:sz w:val="28"/>
          <w:szCs w:val="28"/>
          <w:lang w:val="en-US" w:eastAsia="zh-CN" w:bidi="ar-SA"/>
        </w:rPr>
        <w:t>2013年2月22日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